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177B8" w14:textId="77777777" w:rsidR="00086EB6" w:rsidRPr="00086EB6" w:rsidRDefault="00086EB6" w:rsidP="00086EB6">
      <w:pPr>
        <w:spacing w:before="100" w:beforeAutospacing="1" w:after="100" w:afterAutospacing="1" w:line="240" w:lineRule="auto"/>
        <w:ind w:firstLine="720"/>
        <w:jc w:val="right"/>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Дело № 2-748/2021</w:t>
      </w:r>
    </w:p>
    <w:p w14:paraId="604A860A" w14:textId="77777777" w:rsidR="00086EB6" w:rsidRPr="00086EB6" w:rsidRDefault="00086EB6" w:rsidP="00086EB6">
      <w:pPr>
        <w:spacing w:before="100" w:beforeAutospacing="1" w:after="100" w:afterAutospacing="1" w:line="240" w:lineRule="auto"/>
        <w:ind w:firstLine="720"/>
        <w:jc w:val="right"/>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76RS0014-01-2020-002865-81</w:t>
      </w:r>
    </w:p>
    <w:p w14:paraId="26051051" w14:textId="77777777" w:rsidR="00086EB6" w:rsidRPr="00086EB6" w:rsidRDefault="00086EB6" w:rsidP="00086EB6">
      <w:pPr>
        <w:spacing w:before="100" w:beforeAutospacing="1" w:after="100" w:afterAutospacing="1" w:line="240" w:lineRule="auto"/>
        <w:ind w:firstLine="720"/>
        <w:jc w:val="right"/>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изготовлено 26.07.2021.</w:t>
      </w:r>
    </w:p>
    <w:p w14:paraId="2B4FAF5F" w14:textId="77777777" w:rsidR="00086EB6" w:rsidRPr="00086EB6" w:rsidRDefault="00086EB6" w:rsidP="00086EB6">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Р Е Ш Е Н И Е</w:t>
      </w:r>
    </w:p>
    <w:p w14:paraId="2B078EFA" w14:textId="77777777" w:rsidR="00086EB6" w:rsidRPr="00086EB6" w:rsidRDefault="00086EB6" w:rsidP="00086EB6">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ИМЕНЕМ РОССИЙСКОЙ ФЕДЕРАЦИИ</w:t>
      </w:r>
    </w:p>
    <w:p w14:paraId="5C04E0E3"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22 июля 2021 г.                             г. Ярославль</w:t>
      </w:r>
    </w:p>
    <w:p w14:paraId="42345D06"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Дзержинский районный суд г. Ярославля в составе судьи Ю.А. Шумиловой,</w:t>
      </w:r>
    </w:p>
    <w:p w14:paraId="6DE192FB"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при секретаре Нейман Ю.Н.,</w:t>
      </w:r>
    </w:p>
    <w:p w14:paraId="01D0A54B"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рассмотрев в открытом судебном заседании гражданское дело по иску Иванова Романа Вадимовича к ООО «ПАРТНЕР-ФИНАНС», ООО «ЭКСПЕРТ-ФИНАНС» о взыскании неустойки, встречному иску ООО «ПАРТНЕР-ФИНАНС» к Иванову Роману Вадимовичу о взыскании суммы налога на доходы физических лиц,</w:t>
      </w:r>
    </w:p>
    <w:p w14:paraId="3C61D655" w14:textId="77777777" w:rsidR="00086EB6" w:rsidRPr="00086EB6" w:rsidRDefault="00086EB6" w:rsidP="00086EB6">
      <w:pPr>
        <w:spacing w:before="100" w:beforeAutospacing="1" w:after="100" w:afterAutospacing="1" w:line="240" w:lineRule="auto"/>
        <w:ind w:firstLine="720"/>
        <w:jc w:val="center"/>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установил:</w:t>
      </w:r>
    </w:p>
    <w:p w14:paraId="10685B8B"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Иванов Р.В. обратился в суд с иском к ООО «ПАРТНЕР-ФИНАНС», ООО «ЭКСПЕРТ-ФИНАНС» о взыскании в солидарном порядке денежных средств в сумме 1 816 500руб., расходов по уплате государственной пошлины – 17 283руб.</w:t>
      </w:r>
    </w:p>
    <w:p w14:paraId="0E8C93C1"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 xml:space="preserve">В обоснование иска указано, что 08.09.2017г. между истцом и ООО «ПАРТНЕР-ФИНАНС» заключен договор целевого займа № 57/1, по которому Займодавец передал Заемщику денежные средства в сумме 3 500 000руб. со сроком возврата </w:t>
      </w:r>
      <w:proofErr w:type="gramStart"/>
      <w:r w:rsidRPr="00086EB6">
        <w:rPr>
          <w:rFonts w:ascii="Times New Roman" w:eastAsia="Times New Roman" w:hAnsi="Times New Roman" w:cs="Times New Roman"/>
          <w:color w:val="000000"/>
          <w:sz w:val="27"/>
          <w:szCs w:val="27"/>
          <w:shd w:val="clear" w:color="auto" w:fill="FFFFFF"/>
          <w:lang w:eastAsia="ru-RU"/>
        </w:rPr>
        <w:t>согласно графика</w:t>
      </w:r>
      <w:proofErr w:type="gramEnd"/>
      <w:r w:rsidRPr="00086EB6">
        <w:rPr>
          <w:rFonts w:ascii="Times New Roman" w:eastAsia="Times New Roman" w:hAnsi="Times New Roman" w:cs="Times New Roman"/>
          <w:color w:val="000000"/>
          <w:sz w:val="27"/>
          <w:szCs w:val="27"/>
          <w:shd w:val="clear" w:color="auto" w:fill="FFFFFF"/>
          <w:lang w:eastAsia="ru-RU"/>
        </w:rPr>
        <w:t>, с уплатой 35% годовых. В целях надлежащего исполнения обязательства, между Ивановым Р.В. и ООО «ЭКСПЕРТ-ФИНАНС» заключен договор поручительства. 01.03.2019г. между сторонами заключены дополнительные соглашения №№ 1 и 2 об изменении графика возврата денежных средств и об изменении порядка начисления пени, стороны достигли соглашения о размере пеней подлежащих уплате в результате ненадлежащего исполнения обязательства по договору займа № 57/1 от 08.09.2017г. определит точный их размер, не подлежащий изменению – 1 816 500руб., со срок уплаты до 29.02.2020г. ООО «ПАРТНЕР-ФИНАНС» в установленные срок пени не выплатил. Требования сформулированы в порядке ст. 309,310,323,330,360-363 ГК РФ.</w:t>
      </w:r>
    </w:p>
    <w:p w14:paraId="420D05B1"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 xml:space="preserve">В дополнениях к иску указано, что заключение договора займа № 57/1 от 08.09.2017г. фактически является новацией долга, возникшего из договора займа № 9 от 21.10.2016г., в связи с чем, истец передал ООО «ПАРТНЕР-ФИНАНС» денежную сумму за минусом долга, имевшегося по договору № 9 от 21.10.2016г. </w:t>
      </w:r>
      <w:r w:rsidRPr="00086EB6">
        <w:rPr>
          <w:rFonts w:ascii="Times New Roman" w:eastAsia="Times New Roman" w:hAnsi="Times New Roman" w:cs="Times New Roman"/>
          <w:color w:val="000000"/>
          <w:sz w:val="27"/>
          <w:szCs w:val="27"/>
          <w:shd w:val="clear" w:color="auto" w:fill="FFFFFF"/>
          <w:lang w:eastAsia="ru-RU"/>
        </w:rPr>
        <w:lastRenderedPageBreak/>
        <w:t>Указано, что основной долг с процентами погашен согласно приведённого расчета, на общую сумму 4 676 862руб., 30.09.2019г. истец принял от ответчика денежную сумму в размере 250 000руб., однократно, а не дважды, как поясняет ответчик, в связи с чем, второй платеж на сумму 250 000руб. не был учтен. Указано, что поскольку сторонами в дополнительном соглашении № 2 от 01.03.2019г. был определен четкий размер пеней, то отсутствуют основания для применения ст. 333 ГК РФ.</w:t>
      </w:r>
    </w:p>
    <w:p w14:paraId="08A02215"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ООО «ПАРТНЕР-ФИНАНС» обратилось в суд к Иванову Р.В. со встречным иском, в котором заявлено о взыскании суммы налога на доходы физических лиц 13%, который полежит уплате в будущем налоговом периоде в связи с уплатой основного долга в порядке ст. 226,224 НК РФ, в размере 159 250руб.</w:t>
      </w:r>
    </w:p>
    <w:p w14:paraId="02483DC0"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В судебном заседании Иванов Р.В. свои требования поддержал, во встречном иске просил отказать. В его интересах представитель по доверенности Демина Ю.С. в судебном заседании дала пояснения в пределах доводов первоначально предъявленного искового заявления и дополнений к ним, дополнив, что представленные суду ответчиком два расходно-кассовых ордера, имеющих одинаковый № 71-19 от 30.09.2019г. на сумму 250 000руб., просит оценить суд в порядке ст. 57 ГПК РФ, ходатайств о назначении судебной экспертизы заявлять не намерена. Указала, что от заключения мирового соглашения не уклонялась, предложенный ответчиком размер возмещения 300 000руб. явно занижен. По доводам встречного иска возражала в полном объёме, полагая, что требования не основаны на законе.</w:t>
      </w:r>
    </w:p>
    <w:p w14:paraId="2875921E"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 xml:space="preserve">В судебном заседании представитель ООО «ПАРТНЕР-ФИНАНС», ООО «ЭКСПЕРТ-ФИНАНС», по доверенностям, Романова М.А. по доводам первоначального иска указала, что не оспаривает факт заключения договора займа № 57/1 от 08.09.2017г., договор поручительства от 08.09.2017г., и факт заключения дополнительных соглашений № 1 и 2 от 01.03.2019г., факт погашения договора займа с процентами согласно приведенного истцом расчета, однако полагают что 30.09.2019г. ответчиком была уплачена сумма дважды по 250 000руб. однако в расчете истца учтена только одна сумма, в связи с чем, имеется переплата, всего уплачено 4 926 862руб. Полагала, что переплата в сумме 201 862руб. должна быть учтена в счет уплаты неустойки. Заявлено о применении положений ст. 333 ГК РФ при определении </w:t>
      </w:r>
      <w:proofErr w:type="gramStart"/>
      <w:r w:rsidRPr="00086EB6">
        <w:rPr>
          <w:rFonts w:ascii="Times New Roman" w:eastAsia="Times New Roman" w:hAnsi="Times New Roman" w:cs="Times New Roman"/>
          <w:color w:val="000000"/>
          <w:sz w:val="27"/>
          <w:szCs w:val="27"/>
          <w:shd w:val="clear" w:color="auto" w:fill="FFFFFF"/>
          <w:lang w:eastAsia="ru-RU"/>
        </w:rPr>
        <w:t>размера неустойки</w:t>
      </w:r>
      <w:proofErr w:type="gramEnd"/>
      <w:r w:rsidRPr="00086EB6">
        <w:rPr>
          <w:rFonts w:ascii="Times New Roman" w:eastAsia="Times New Roman" w:hAnsi="Times New Roman" w:cs="Times New Roman"/>
          <w:color w:val="000000"/>
          <w:sz w:val="27"/>
          <w:szCs w:val="27"/>
          <w:shd w:val="clear" w:color="auto" w:fill="FFFFFF"/>
          <w:lang w:eastAsia="ru-RU"/>
        </w:rPr>
        <w:t xml:space="preserve"> подлежащей взысканию судом.</w:t>
      </w:r>
    </w:p>
    <w:p w14:paraId="4173588D"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Указала, что заключение договора займа № 9 от 21.10.2016г. и обязательства по нему никак не связаны с обязательствами, возникшими из договора № 57/1 от 08.09.2017г., согласно дополнительного соглашения № 1 к договору займа № 9 от 21.10.2016г., стороны пришли к соглашению о его расторжении, и финансовых и иных претензий друг к другу не имеют.</w:t>
      </w:r>
    </w:p>
    <w:p w14:paraId="0118E6ED"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Доводы встречного иска поддержала по основаниям, в нем изложенным.</w:t>
      </w:r>
    </w:p>
    <w:p w14:paraId="335FD370"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lastRenderedPageBreak/>
        <w:t>В судебном заседании третьи лица - МИ ФНС России № 5 по ЯО, Межрегиональное управление Федеральной службы по финансовому мониторингу по ЦФО, участия не принимали, о времени и месте слушания дела извещены надлежаще.</w:t>
      </w:r>
    </w:p>
    <w:p w14:paraId="7E3F3226"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Дело постановлено судом рассмотреть при имеющейся явке.</w:t>
      </w:r>
    </w:p>
    <w:p w14:paraId="5973C591"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Выслушав пояснения явившихся участников процесса, исследовав письменные материалы дела, оценив представленные по делу доказательства в их совокупности, суд установил следующее.</w:t>
      </w:r>
    </w:p>
    <w:p w14:paraId="496F212B"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В соответствии со ст. 807 Гражданского кодекса Российской Федерации по договору займа одна сторона (заимодавец) передает в собственность другой стороне (заемщику) деньги или другие вещи, определенные родовыми признаками, а заемщик обязуется возвратить заимодавцу такую же сумму денег (сумму займа) или равное количество других полученных им вещей того рода и качества.</w:t>
      </w:r>
    </w:p>
    <w:p w14:paraId="47585220"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Согласно ст. 810 Гражданского кодекса Российской Федерации заемщик обязан возвратить заимодавцу полученную сумму займа в срок и в порядке, которые предусмотрены договором займа.</w:t>
      </w:r>
    </w:p>
    <w:p w14:paraId="225377DC"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В соответствии со ст. 809 Гражданского кодекса Российской Федерации если иное не предусмотрено законом или договором займа, заимодавец имеет право на получение с заемщика процентов на сумму займа в размерах и в порядке, определенных договором. При отсутствии в договоре условия о размере процентов их размер определяется существующей в месте жительства заимодавца, а если заимодавцем является юридическое лицо, в месте его нахождения ставкой банковского процента (ставкой рефинансирования) на день уплаты заемщиком суммы долга или его соответствующей части. При отсутствии иного соглашения проценты выплачиваются ежемесячно до дня возврата суммы займа.</w:t>
      </w:r>
    </w:p>
    <w:p w14:paraId="7729EB6A"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 xml:space="preserve">Материалами дела установлено, не оспаривалось сторонами, что 08.09.2017г. между Ивановым Р.В. и ООО «ПАРТНЕР-ФИНАНС» заключен договор целевого займа № 57/1, по которому Займодавец передал Заемщику денежные средства в сумме 3 500 000руб. со сроком возврата </w:t>
      </w:r>
      <w:proofErr w:type="gramStart"/>
      <w:r w:rsidRPr="00086EB6">
        <w:rPr>
          <w:rFonts w:ascii="Times New Roman" w:eastAsia="Times New Roman" w:hAnsi="Times New Roman" w:cs="Times New Roman"/>
          <w:color w:val="000000"/>
          <w:sz w:val="27"/>
          <w:szCs w:val="27"/>
          <w:shd w:val="clear" w:color="auto" w:fill="FFFFFF"/>
          <w:lang w:eastAsia="ru-RU"/>
        </w:rPr>
        <w:t>согласно графика</w:t>
      </w:r>
      <w:proofErr w:type="gramEnd"/>
      <w:r w:rsidRPr="00086EB6">
        <w:rPr>
          <w:rFonts w:ascii="Times New Roman" w:eastAsia="Times New Roman" w:hAnsi="Times New Roman" w:cs="Times New Roman"/>
          <w:color w:val="000000"/>
          <w:sz w:val="27"/>
          <w:szCs w:val="27"/>
          <w:shd w:val="clear" w:color="auto" w:fill="FFFFFF"/>
          <w:lang w:eastAsia="ru-RU"/>
        </w:rPr>
        <w:t>, с уплатой 35% годовых.</w:t>
      </w:r>
    </w:p>
    <w:p w14:paraId="1E394010"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08.09.2017г. в целях надлежащего исполнения обязательства, между Ивановым Р.В. и ООО «ЭКСПЕРТ-ФИНАНС» заключен договор поручительства.</w:t>
      </w:r>
    </w:p>
    <w:p w14:paraId="155B77B6"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 xml:space="preserve">01.03.2019г. между сторонами заключены дополнительные соглашения №№ 1 и 2 об изменении графика возврата денежных средств и об изменении порядка начисления пени, стороны достигли соглашения о размере пеней подлежащих уплате в результате ненадлежащего исполнения обязательства по </w:t>
      </w:r>
      <w:r w:rsidRPr="00086EB6">
        <w:rPr>
          <w:rFonts w:ascii="Times New Roman" w:eastAsia="Times New Roman" w:hAnsi="Times New Roman" w:cs="Times New Roman"/>
          <w:color w:val="000000"/>
          <w:sz w:val="27"/>
          <w:szCs w:val="27"/>
          <w:shd w:val="clear" w:color="auto" w:fill="FFFFFF"/>
          <w:lang w:eastAsia="ru-RU"/>
        </w:rPr>
        <w:lastRenderedPageBreak/>
        <w:t>договору займа № 57/1 от 08.09.2017г. определит точный их размер, не подлежащий изменению – 1 816 500руб., со сроком уплаты до 29.02.2020г.</w:t>
      </w:r>
    </w:p>
    <w:p w14:paraId="710C490C"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color w:val="000000"/>
          <w:sz w:val="27"/>
          <w:szCs w:val="27"/>
          <w:shd w:val="clear" w:color="auto" w:fill="FFFFFF"/>
          <w:lang w:eastAsia="ru-RU"/>
        </w:rPr>
      </w:pPr>
      <w:r w:rsidRPr="00086EB6">
        <w:rPr>
          <w:rFonts w:ascii="Times New Roman" w:eastAsia="Times New Roman" w:hAnsi="Times New Roman" w:cs="Times New Roman"/>
          <w:color w:val="000000"/>
          <w:sz w:val="27"/>
          <w:szCs w:val="27"/>
          <w:shd w:val="clear" w:color="auto" w:fill="FFFFFF"/>
          <w:lang w:eastAsia="ru-RU"/>
        </w:rPr>
        <w:t>Согласно представленного стороной истца по первоначальному иску расчета погашения задолженности по основному долгу и процентам, всего было уплачено 4 676 862руб. в следующие периоды:</w:t>
      </w:r>
    </w:p>
    <w:tbl>
      <w:tblPr>
        <w:tblW w:w="0" w:type="auto"/>
        <w:tblCellSpacing w:w="0" w:type="dxa"/>
        <w:shd w:val="clear" w:color="auto" w:fill="FFFFFF"/>
        <w:tblCellMar>
          <w:top w:w="45" w:type="dxa"/>
          <w:left w:w="45" w:type="dxa"/>
          <w:bottom w:w="45" w:type="dxa"/>
          <w:right w:w="45" w:type="dxa"/>
        </w:tblCellMar>
        <w:tblLook w:val="04A0" w:firstRow="1" w:lastRow="0" w:firstColumn="1" w:lastColumn="0" w:noHBand="0" w:noVBand="1"/>
      </w:tblPr>
      <w:tblGrid>
        <w:gridCol w:w="96"/>
      </w:tblGrid>
      <w:tr w:rsidR="00086EB6" w:rsidRPr="00086EB6" w14:paraId="69BCFC71" w14:textId="77777777" w:rsidTr="00086EB6">
        <w:trPr>
          <w:tblCellSpacing w:w="0" w:type="dxa"/>
        </w:trPr>
        <w:tc>
          <w:tcPr>
            <w:tcW w:w="0" w:type="auto"/>
            <w:shd w:val="clear" w:color="auto" w:fill="FFFFFF"/>
            <w:vAlign w:val="center"/>
            <w:hideMark/>
          </w:tcPr>
          <w:p w14:paraId="7F5B3995" w14:textId="77777777" w:rsidR="00086EB6" w:rsidRPr="00086EB6" w:rsidRDefault="00086EB6" w:rsidP="00086EB6">
            <w:pPr>
              <w:spacing w:after="0" w:line="240" w:lineRule="auto"/>
              <w:rPr>
                <w:rFonts w:ascii="Times New Roman" w:eastAsia="Times New Roman" w:hAnsi="Times New Roman" w:cs="Times New Roman"/>
                <w:color w:val="000000"/>
                <w:sz w:val="27"/>
                <w:szCs w:val="27"/>
                <w:shd w:val="clear" w:color="auto" w:fill="FFFFFF"/>
                <w:lang w:eastAsia="ru-RU"/>
              </w:rPr>
            </w:pPr>
          </w:p>
        </w:tc>
      </w:tr>
    </w:tbl>
    <w:p w14:paraId="122D69DF" w14:textId="77777777" w:rsidR="00086EB6" w:rsidRPr="00086EB6" w:rsidRDefault="00086EB6" w:rsidP="00086EB6">
      <w:pPr>
        <w:spacing w:after="0" w:line="240" w:lineRule="auto"/>
        <w:rPr>
          <w:rFonts w:ascii="Times New Roman" w:eastAsia="Times New Roman" w:hAnsi="Times New Roman" w:cs="Times New Roman"/>
          <w:vanish/>
          <w:sz w:val="24"/>
          <w:szCs w:val="24"/>
          <w:lang w:eastAsia="ru-RU"/>
        </w:rPr>
      </w:pPr>
    </w:p>
    <w:tbl>
      <w:tblPr>
        <w:tblW w:w="0" w:type="auto"/>
        <w:jc w:val="center"/>
        <w:tblCellSpacing w:w="0" w:type="dxa"/>
        <w:shd w:val="clear" w:color="auto" w:fill="FFFFFF"/>
        <w:tblCellMar>
          <w:top w:w="30" w:type="dxa"/>
          <w:left w:w="30" w:type="dxa"/>
          <w:bottom w:w="30" w:type="dxa"/>
          <w:right w:w="30" w:type="dxa"/>
        </w:tblCellMar>
        <w:tblLook w:val="04A0" w:firstRow="1" w:lastRow="0" w:firstColumn="1" w:lastColumn="0" w:noHBand="0" w:noVBand="1"/>
      </w:tblPr>
      <w:tblGrid>
        <w:gridCol w:w="960"/>
        <w:gridCol w:w="1993"/>
        <w:gridCol w:w="1580"/>
        <w:gridCol w:w="1514"/>
        <w:gridCol w:w="3308"/>
      </w:tblGrid>
      <w:tr w:rsidR="00086EB6" w:rsidRPr="00086EB6" w14:paraId="21F277DB" w14:textId="77777777" w:rsidTr="00086EB6">
        <w:trPr>
          <w:tblCellSpacing w:w="0" w:type="dxa"/>
          <w:jc w:val="center"/>
        </w:trPr>
        <w:tc>
          <w:tcPr>
            <w:tcW w:w="0" w:type="auto"/>
            <w:shd w:val="clear" w:color="auto" w:fill="FFFFFF"/>
            <w:vAlign w:val="center"/>
            <w:hideMark/>
          </w:tcPr>
          <w:p w14:paraId="73435C49"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14:paraId="7A385946"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Дата</w:t>
            </w:r>
          </w:p>
        </w:tc>
        <w:tc>
          <w:tcPr>
            <w:tcW w:w="0" w:type="auto"/>
            <w:shd w:val="clear" w:color="auto" w:fill="FFFFFF"/>
            <w:vAlign w:val="center"/>
            <w:hideMark/>
          </w:tcPr>
          <w:p w14:paraId="5EC5BCE7"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Сумма</w:t>
            </w:r>
          </w:p>
        </w:tc>
        <w:tc>
          <w:tcPr>
            <w:tcW w:w="0" w:type="auto"/>
            <w:shd w:val="clear" w:color="auto" w:fill="FFFFFF"/>
            <w:vAlign w:val="center"/>
            <w:hideMark/>
          </w:tcPr>
          <w:p w14:paraId="62ECC81A"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Номер РКО</w:t>
            </w:r>
          </w:p>
        </w:tc>
        <w:tc>
          <w:tcPr>
            <w:tcW w:w="0" w:type="auto"/>
            <w:shd w:val="clear" w:color="auto" w:fill="FFFFFF"/>
            <w:vAlign w:val="center"/>
            <w:hideMark/>
          </w:tcPr>
          <w:p w14:paraId="30C573A6"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Комментарий</w:t>
            </w:r>
          </w:p>
        </w:tc>
      </w:tr>
      <w:tr w:rsidR="00086EB6" w:rsidRPr="00086EB6" w14:paraId="7EE7F1E8" w14:textId="77777777" w:rsidTr="00086EB6">
        <w:trPr>
          <w:tblCellSpacing w:w="0" w:type="dxa"/>
          <w:jc w:val="center"/>
        </w:trPr>
        <w:tc>
          <w:tcPr>
            <w:tcW w:w="0" w:type="auto"/>
            <w:shd w:val="clear" w:color="auto" w:fill="FFFFFF"/>
            <w:vAlign w:val="center"/>
            <w:hideMark/>
          </w:tcPr>
          <w:p w14:paraId="6DECCA26"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1</w:t>
            </w:r>
          </w:p>
        </w:tc>
        <w:tc>
          <w:tcPr>
            <w:tcW w:w="0" w:type="auto"/>
            <w:shd w:val="clear" w:color="auto" w:fill="FFFFFF"/>
            <w:vAlign w:val="center"/>
            <w:hideMark/>
          </w:tcPr>
          <w:p w14:paraId="3013F97C"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08.06.2018</w:t>
            </w:r>
          </w:p>
        </w:tc>
        <w:tc>
          <w:tcPr>
            <w:tcW w:w="0" w:type="auto"/>
            <w:shd w:val="clear" w:color="auto" w:fill="FFFFFF"/>
            <w:vAlign w:val="center"/>
            <w:hideMark/>
          </w:tcPr>
          <w:p w14:paraId="0956D042"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2 625 000</w:t>
            </w:r>
          </w:p>
        </w:tc>
        <w:tc>
          <w:tcPr>
            <w:tcW w:w="0" w:type="auto"/>
            <w:shd w:val="clear" w:color="auto" w:fill="FFFFFF"/>
            <w:vAlign w:val="center"/>
            <w:hideMark/>
          </w:tcPr>
          <w:p w14:paraId="62802F05"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47-18</w:t>
            </w:r>
          </w:p>
        </w:tc>
        <w:tc>
          <w:tcPr>
            <w:tcW w:w="0" w:type="auto"/>
            <w:shd w:val="clear" w:color="auto" w:fill="FFFFFF"/>
            <w:vAlign w:val="center"/>
            <w:hideMark/>
          </w:tcPr>
          <w:p w14:paraId="6A98B1C0"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r>
      <w:tr w:rsidR="00086EB6" w:rsidRPr="00086EB6" w14:paraId="688903B6" w14:textId="77777777" w:rsidTr="00086EB6">
        <w:trPr>
          <w:tblCellSpacing w:w="0" w:type="dxa"/>
          <w:jc w:val="center"/>
        </w:trPr>
        <w:tc>
          <w:tcPr>
            <w:tcW w:w="0" w:type="auto"/>
            <w:shd w:val="clear" w:color="auto" w:fill="FFFFFF"/>
            <w:vAlign w:val="center"/>
            <w:hideMark/>
          </w:tcPr>
          <w:p w14:paraId="23384559"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2</w:t>
            </w:r>
          </w:p>
        </w:tc>
        <w:tc>
          <w:tcPr>
            <w:tcW w:w="0" w:type="auto"/>
            <w:shd w:val="clear" w:color="auto" w:fill="FFFFFF"/>
            <w:vAlign w:val="center"/>
            <w:hideMark/>
          </w:tcPr>
          <w:p w14:paraId="40C928BF"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29.03.2019</w:t>
            </w:r>
          </w:p>
        </w:tc>
        <w:tc>
          <w:tcPr>
            <w:tcW w:w="0" w:type="auto"/>
            <w:shd w:val="clear" w:color="auto" w:fill="FFFFFF"/>
            <w:vAlign w:val="center"/>
            <w:hideMark/>
          </w:tcPr>
          <w:p w14:paraId="002CF0D2"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100 000</w:t>
            </w:r>
          </w:p>
        </w:tc>
        <w:tc>
          <w:tcPr>
            <w:tcW w:w="0" w:type="auto"/>
            <w:shd w:val="clear" w:color="auto" w:fill="FFFFFF"/>
            <w:vAlign w:val="center"/>
            <w:hideMark/>
          </w:tcPr>
          <w:p w14:paraId="571F5C10"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28-19</w:t>
            </w:r>
          </w:p>
        </w:tc>
        <w:tc>
          <w:tcPr>
            <w:tcW w:w="0" w:type="auto"/>
            <w:shd w:val="clear" w:color="auto" w:fill="FFFFFF"/>
            <w:vAlign w:val="center"/>
            <w:hideMark/>
          </w:tcPr>
          <w:p w14:paraId="691BBF5B"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r>
      <w:tr w:rsidR="00086EB6" w:rsidRPr="00086EB6" w14:paraId="05A4DFBE" w14:textId="77777777" w:rsidTr="00086EB6">
        <w:trPr>
          <w:tblCellSpacing w:w="0" w:type="dxa"/>
          <w:jc w:val="center"/>
        </w:trPr>
        <w:tc>
          <w:tcPr>
            <w:tcW w:w="0" w:type="auto"/>
            <w:shd w:val="clear" w:color="auto" w:fill="FFFFFF"/>
            <w:vAlign w:val="center"/>
            <w:hideMark/>
          </w:tcPr>
          <w:p w14:paraId="6B604E68"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3</w:t>
            </w:r>
          </w:p>
        </w:tc>
        <w:tc>
          <w:tcPr>
            <w:tcW w:w="0" w:type="auto"/>
            <w:shd w:val="clear" w:color="auto" w:fill="FFFFFF"/>
            <w:vAlign w:val="center"/>
            <w:hideMark/>
          </w:tcPr>
          <w:p w14:paraId="68ACDE32"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30.04.2019</w:t>
            </w:r>
          </w:p>
        </w:tc>
        <w:tc>
          <w:tcPr>
            <w:tcW w:w="0" w:type="auto"/>
            <w:shd w:val="clear" w:color="auto" w:fill="FFFFFF"/>
            <w:vAlign w:val="center"/>
            <w:hideMark/>
          </w:tcPr>
          <w:p w14:paraId="4AD50C17"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626 232</w:t>
            </w:r>
          </w:p>
        </w:tc>
        <w:tc>
          <w:tcPr>
            <w:tcW w:w="0" w:type="auto"/>
            <w:shd w:val="clear" w:color="auto" w:fill="FFFFFF"/>
            <w:vAlign w:val="center"/>
            <w:hideMark/>
          </w:tcPr>
          <w:p w14:paraId="6A3DA5B8"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34-19</w:t>
            </w:r>
          </w:p>
        </w:tc>
        <w:tc>
          <w:tcPr>
            <w:tcW w:w="0" w:type="auto"/>
            <w:shd w:val="clear" w:color="auto" w:fill="FFFFFF"/>
            <w:vAlign w:val="center"/>
            <w:hideMark/>
          </w:tcPr>
          <w:p w14:paraId="5A0B7C1A"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r>
      <w:tr w:rsidR="00086EB6" w:rsidRPr="00086EB6" w14:paraId="28241C8B" w14:textId="77777777" w:rsidTr="00086EB6">
        <w:trPr>
          <w:tblCellSpacing w:w="0" w:type="dxa"/>
          <w:jc w:val="center"/>
        </w:trPr>
        <w:tc>
          <w:tcPr>
            <w:tcW w:w="0" w:type="auto"/>
            <w:shd w:val="clear" w:color="auto" w:fill="FFFFFF"/>
            <w:vAlign w:val="center"/>
            <w:hideMark/>
          </w:tcPr>
          <w:p w14:paraId="21283DE3"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4</w:t>
            </w:r>
          </w:p>
        </w:tc>
        <w:tc>
          <w:tcPr>
            <w:tcW w:w="0" w:type="auto"/>
            <w:shd w:val="clear" w:color="auto" w:fill="FFFFFF"/>
            <w:vAlign w:val="center"/>
            <w:hideMark/>
          </w:tcPr>
          <w:p w14:paraId="1FDAFA58"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31.05.2019</w:t>
            </w:r>
          </w:p>
        </w:tc>
        <w:tc>
          <w:tcPr>
            <w:tcW w:w="0" w:type="auto"/>
            <w:shd w:val="clear" w:color="auto" w:fill="FFFFFF"/>
            <w:vAlign w:val="center"/>
            <w:hideMark/>
          </w:tcPr>
          <w:p w14:paraId="2EC2C362"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165 832</w:t>
            </w:r>
          </w:p>
        </w:tc>
        <w:tc>
          <w:tcPr>
            <w:tcW w:w="0" w:type="auto"/>
            <w:shd w:val="clear" w:color="auto" w:fill="FFFFFF"/>
            <w:vAlign w:val="center"/>
            <w:hideMark/>
          </w:tcPr>
          <w:p w14:paraId="00CE5009"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41-19</w:t>
            </w:r>
          </w:p>
        </w:tc>
        <w:tc>
          <w:tcPr>
            <w:tcW w:w="0" w:type="auto"/>
            <w:shd w:val="clear" w:color="auto" w:fill="FFFFFF"/>
            <w:vAlign w:val="center"/>
            <w:hideMark/>
          </w:tcPr>
          <w:p w14:paraId="05E11D0D"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r>
      <w:tr w:rsidR="00086EB6" w:rsidRPr="00086EB6" w14:paraId="7391BF57" w14:textId="77777777" w:rsidTr="00086EB6">
        <w:trPr>
          <w:tblCellSpacing w:w="0" w:type="dxa"/>
          <w:jc w:val="center"/>
        </w:trPr>
        <w:tc>
          <w:tcPr>
            <w:tcW w:w="0" w:type="auto"/>
            <w:shd w:val="clear" w:color="auto" w:fill="FFFFFF"/>
            <w:vAlign w:val="center"/>
            <w:hideMark/>
          </w:tcPr>
          <w:p w14:paraId="0C67D4E7"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5</w:t>
            </w:r>
          </w:p>
        </w:tc>
        <w:tc>
          <w:tcPr>
            <w:tcW w:w="0" w:type="auto"/>
            <w:shd w:val="clear" w:color="auto" w:fill="FFFFFF"/>
            <w:vAlign w:val="center"/>
            <w:hideMark/>
          </w:tcPr>
          <w:p w14:paraId="065F524A"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31.07.2019</w:t>
            </w:r>
          </w:p>
        </w:tc>
        <w:tc>
          <w:tcPr>
            <w:tcW w:w="0" w:type="auto"/>
            <w:shd w:val="clear" w:color="auto" w:fill="FFFFFF"/>
            <w:vAlign w:val="center"/>
            <w:hideMark/>
          </w:tcPr>
          <w:p w14:paraId="11E48ABC"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477 532</w:t>
            </w:r>
          </w:p>
        </w:tc>
        <w:tc>
          <w:tcPr>
            <w:tcW w:w="0" w:type="auto"/>
            <w:shd w:val="clear" w:color="auto" w:fill="FFFFFF"/>
            <w:vAlign w:val="center"/>
            <w:hideMark/>
          </w:tcPr>
          <w:p w14:paraId="07AAFFB7"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58-19</w:t>
            </w:r>
          </w:p>
        </w:tc>
        <w:tc>
          <w:tcPr>
            <w:tcW w:w="0" w:type="auto"/>
            <w:shd w:val="clear" w:color="auto" w:fill="FFFFFF"/>
            <w:vAlign w:val="center"/>
            <w:hideMark/>
          </w:tcPr>
          <w:p w14:paraId="4620CE28"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r>
      <w:tr w:rsidR="00086EB6" w:rsidRPr="00086EB6" w14:paraId="6CFFCFCA" w14:textId="77777777" w:rsidTr="00086EB6">
        <w:trPr>
          <w:tblCellSpacing w:w="0" w:type="dxa"/>
          <w:jc w:val="center"/>
        </w:trPr>
        <w:tc>
          <w:tcPr>
            <w:tcW w:w="0" w:type="auto"/>
            <w:shd w:val="clear" w:color="auto" w:fill="FFFFFF"/>
            <w:vAlign w:val="center"/>
            <w:hideMark/>
          </w:tcPr>
          <w:p w14:paraId="396656DB"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6</w:t>
            </w:r>
          </w:p>
        </w:tc>
        <w:tc>
          <w:tcPr>
            <w:tcW w:w="0" w:type="auto"/>
            <w:shd w:val="clear" w:color="auto" w:fill="FFFFFF"/>
            <w:vAlign w:val="center"/>
            <w:hideMark/>
          </w:tcPr>
          <w:p w14:paraId="261ED8EA"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30.08.2019</w:t>
            </w:r>
          </w:p>
        </w:tc>
        <w:tc>
          <w:tcPr>
            <w:tcW w:w="0" w:type="auto"/>
            <w:shd w:val="clear" w:color="auto" w:fill="FFFFFF"/>
            <w:vAlign w:val="center"/>
            <w:hideMark/>
          </w:tcPr>
          <w:p w14:paraId="08745C2F"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227 266</w:t>
            </w:r>
          </w:p>
        </w:tc>
        <w:tc>
          <w:tcPr>
            <w:tcW w:w="0" w:type="auto"/>
            <w:shd w:val="clear" w:color="auto" w:fill="FFFFFF"/>
            <w:vAlign w:val="center"/>
            <w:hideMark/>
          </w:tcPr>
          <w:p w14:paraId="73011C03"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63-19</w:t>
            </w:r>
          </w:p>
        </w:tc>
        <w:tc>
          <w:tcPr>
            <w:tcW w:w="0" w:type="auto"/>
            <w:shd w:val="clear" w:color="auto" w:fill="FFFFFF"/>
            <w:vAlign w:val="center"/>
            <w:hideMark/>
          </w:tcPr>
          <w:p w14:paraId="0C9C8DFD"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r>
      <w:tr w:rsidR="00086EB6" w:rsidRPr="00086EB6" w14:paraId="328E090F" w14:textId="77777777" w:rsidTr="00086EB6">
        <w:trPr>
          <w:tblCellSpacing w:w="0" w:type="dxa"/>
          <w:jc w:val="center"/>
        </w:trPr>
        <w:tc>
          <w:tcPr>
            <w:tcW w:w="0" w:type="auto"/>
            <w:shd w:val="clear" w:color="auto" w:fill="FFFFFF"/>
            <w:vAlign w:val="center"/>
            <w:hideMark/>
          </w:tcPr>
          <w:p w14:paraId="2CD37105"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7</w:t>
            </w:r>
          </w:p>
        </w:tc>
        <w:tc>
          <w:tcPr>
            <w:tcW w:w="0" w:type="auto"/>
            <w:shd w:val="clear" w:color="auto" w:fill="FFFFFF"/>
            <w:vAlign w:val="center"/>
            <w:hideMark/>
          </w:tcPr>
          <w:p w14:paraId="46A39160"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30.09.2019 30.09.2019</w:t>
            </w:r>
          </w:p>
        </w:tc>
        <w:tc>
          <w:tcPr>
            <w:tcW w:w="0" w:type="auto"/>
            <w:shd w:val="clear" w:color="auto" w:fill="FFFFFF"/>
            <w:vAlign w:val="center"/>
            <w:hideMark/>
          </w:tcPr>
          <w:p w14:paraId="0C0CF16F"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250 000 250 000</w:t>
            </w:r>
          </w:p>
        </w:tc>
        <w:tc>
          <w:tcPr>
            <w:tcW w:w="0" w:type="auto"/>
            <w:shd w:val="clear" w:color="auto" w:fill="FFFFFF"/>
            <w:vAlign w:val="center"/>
            <w:hideMark/>
          </w:tcPr>
          <w:p w14:paraId="6796F5D4"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71-19 71-19</w:t>
            </w:r>
          </w:p>
        </w:tc>
        <w:tc>
          <w:tcPr>
            <w:tcW w:w="0" w:type="auto"/>
            <w:shd w:val="clear" w:color="auto" w:fill="FFFFFF"/>
            <w:vAlign w:val="center"/>
            <w:hideMark/>
          </w:tcPr>
          <w:p w14:paraId="2561C34C"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Два расходно-кассовых ордера на одну и ту же сумму одним и тем же числом и с одним и тем же номером</w:t>
            </w:r>
          </w:p>
        </w:tc>
      </w:tr>
      <w:tr w:rsidR="00086EB6" w:rsidRPr="00086EB6" w14:paraId="3BBD6000" w14:textId="77777777" w:rsidTr="00086EB6">
        <w:trPr>
          <w:tblCellSpacing w:w="0" w:type="dxa"/>
          <w:jc w:val="center"/>
        </w:trPr>
        <w:tc>
          <w:tcPr>
            <w:tcW w:w="0" w:type="auto"/>
            <w:shd w:val="clear" w:color="auto" w:fill="FFFFFF"/>
            <w:vAlign w:val="center"/>
            <w:hideMark/>
          </w:tcPr>
          <w:p w14:paraId="0DFE651C"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8.</w:t>
            </w:r>
          </w:p>
        </w:tc>
        <w:tc>
          <w:tcPr>
            <w:tcW w:w="0" w:type="auto"/>
            <w:shd w:val="clear" w:color="auto" w:fill="FFFFFF"/>
            <w:vAlign w:val="center"/>
            <w:hideMark/>
          </w:tcPr>
          <w:p w14:paraId="7379A2C8"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31.10.2019</w:t>
            </w:r>
          </w:p>
        </w:tc>
        <w:tc>
          <w:tcPr>
            <w:tcW w:w="0" w:type="auto"/>
            <w:shd w:val="clear" w:color="auto" w:fill="FFFFFF"/>
            <w:vAlign w:val="center"/>
            <w:hideMark/>
          </w:tcPr>
          <w:p w14:paraId="1C66DB07"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205 000</w:t>
            </w:r>
          </w:p>
        </w:tc>
        <w:tc>
          <w:tcPr>
            <w:tcW w:w="0" w:type="auto"/>
            <w:shd w:val="clear" w:color="auto" w:fill="FFFFFF"/>
            <w:vAlign w:val="center"/>
            <w:hideMark/>
          </w:tcPr>
          <w:p w14:paraId="30ED6580"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78-19</w:t>
            </w:r>
          </w:p>
        </w:tc>
        <w:tc>
          <w:tcPr>
            <w:tcW w:w="0" w:type="auto"/>
            <w:shd w:val="clear" w:color="auto" w:fill="FFFFFF"/>
            <w:vAlign w:val="center"/>
            <w:hideMark/>
          </w:tcPr>
          <w:p w14:paraId="1E5B9DB1"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r>
      <w:tr w:rsidR="00086EB6" w:rsidRPr="00086EB6" w14:paraId="11DC4A20" w14:textId="77777777" w:rsidTr="00086EB6">
        <w:trPr>
          <w:tblCellSpacing w:w="0" w:type="dxa"/>
          <w:jc w:val="center"/>
        </w:trPr>
        <w:tc>
          <w:tcPr>
            <w:tcW w:w="0" w:type="auto"/>
            <w:shd w:val="clear" w:color="auto" w:fill="FFFFFF"/>
            <w:vAlign w:val="center"/>
            <w:hideMark/>
          </w:tcPr>
          <w:p w14:paraId="6B18AB87" w14:textId="77777777" w:rsidR="00086EB6" w:rsidRPr="00086EB6" w:rsidRDefault="00086EB6" w:rsidP="00086EB6">
            <w:pPr>
              <w:spacing w:after="0" w:line="240" w:lineRule="auto"/>
              <w:rPr>
                <w:rFonts w:ascii="Times New Roman" w:eastAsia="Times New Roman" w:hAnsi="Times New Roman" w:cs="Times New Roman"/>
                <w:sz w:val="20"/>
                <w:szCs w:val="20"/>
                <w:lang w:eastAsia="ru-RU"/>
              </w:rPr>
            </w:pPr>
          </w:p>
        </w:tc>
        <w:tc>
          <w:tcPr>
            <w:tcW w:w="0" w:type="auto"/>
            <w:shd w:val="clear" w:color="auto" w:fill="FFFFFF"/>
            <w:vAlign w:val="center"/>
            <w:hideMark/>
          </w:tcPr>
          <w:p w14:paraId="2C79377B"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ВСЕГО:</w:t>
            </w:r>
          </w:p>
        </w:tc>
        <w:tc>
          <w:tcPr>
            <w:tcW w:w="0" w:type="auto"/>
            <w:shd w:val="clear" w:color="auto" w:fill="FFFFFF"/>
            <w:vAlign w:val="center"/>
            <w:hideMark/>
          </w:tcPr>
          <w:p w14:paraId="415230A4" w14:textId="77777777" w:rsidR="00086EB6" w:rsidRPr="00086EB6" w:rsidRDefault="00086EB6" w:rsidP="00086EB6">
            <w:pPr>
              <w:spacing w:before="100" w:beforeAutospacing="1" w:after="100" w:afterAutospacing="1" w:line="240" w:lineRule="auto"/>
              <w:ind w:firstLine="720"/>
              <w:jc w:val="both"/>
              <w:rPr>
                <w:rFonts w:ascii="Times New Roman" w:eastAsia="Times New Roman" w:hAnsi="Times New Roman" w:cs="Times New Roman"/>
                <w:sz w:val="24"/>
                <w:szCs w:val="24"/>
                <w:lang w:eastAsia="ru-RU"/>
              </w:rPr>
            </w:pPr>
            <w:r w:rsidRPr="00086EB6">
              <w:rPr>
                <w:rFonts w:ascii="Times New Roman" w:eastAsia="Times New Roman" w:hAnsi="Times New Roman" w:cs="Times New Roman"/>
                <w:sz w:val="24"/>
                <w:szCs w:val="24"/>
                <w:lang w:eastAsia="ru-RU"/>
              </w:rPr>
              <w:t>4 676 862</w:t>
            </w:r>
          </w:p>
        </w:tc>
        <w:tc>
          <w:tcPr>
            <w:tcW w:w="0" w:type="auto"/>
            <w:shd w:val="clear" w:color="auto" w:fill="FFFFFF"/>
            <w:vAlign w:val="center"/>
            <w:hideMark/>
          </w:tcPr>
          <w:p w14:paraId="0920DDF2" w14:textId="77777777" w:rsidR="00086EB6" w:rsidRPr="00086EB6" w:rsidRDefault="00086EB6" w:rsidP="00086EB6">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center"/>
            <w:hideMark/>
          </w:tcPr>
          <w:p w14:paraId="4CEF42A3" w14:textId="77777777" w:rsidR="00086EB6" w:rsidRPr="00086EB6" w:rsidRDefault="00086EB6" w:rsidP="00086EB6">
            <w:pPr>
              <w:spacing w:after="0" w:line="240" w:lineRule="auto"/>
              <w:rPr>
                <w:rFonts w:ascii="Times New Roman" w:eastAsia="Times New Roman" w:hAnsi="Times New Roman" w:cs="Times New Roman"/>
                <w:sz w:val="20"/>
                <w:szCs w:val="20"/>
                <w:lang w:eastAsia="ru-RU"/>
              </w:rPr>
            </w:pPr>
          </w:p>
        </w:tc>
      </w:tr>
    </w:tbl>
    <w:p w14:paraId="4B14581C"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 xml:space="preserve">Сторона ответчика по первоначальному иску </w:t>
      </w:r>
      <w:proofErr w:type="spellStart"/>
      <w:r w:rsidRPr="00086EB6">
        <w:rPr>
          <w:rFonts w:ascii="Times New Roman" w:eastAsia="Times New Roman" w:hAnsi="Times New Roman" w:cs="Times New Roman"/>
          <w:color w:val="000000"/>
          <w:sz w:val="27"/>
          <w:szCs w:val="27"/>
          <w:lang w:eastAsia="ru-RU"/>
        </w:rPr>
        <w:t>вцелом</w:t>
      </w:r>
      <w:proofErr w:type="spellEnd"/>
      <w:r w:rsidRPr="00086EB6">
        <w:rPr>
          <w:rFonts w:ascii="Times New Roman" w:eastAsia="Times New Roman" w:hAnsi="Times New Roman" w:cs="Times New Roman"/>
          <w:color w:val="000000"/>
          <w:sz w:val="27"/>
          <w:szCs w:val="27"/>
          <w:lang w:eastAsia="ru-RU"/>
        </w:rPr>
        <w:t xml:space="preserve"> не оспаривала периоды и суммы произведенных платежей, не оспаривала факт возникновения просрочки по исполнению основного обязательства при исполнении договора займа № 57/1 от 08.09.2017г., за исключением неучтенного платежа на сумму 250 000руб., произведенного 30.09.2019г.В судебном заседании представлены оригиналы расчетно-кассовых ордеров, выданных ООО «ПАРТНЕР-ФИНАНС» Иванову Р.В., которыми подтверждён факт передачи от ООО «ПАРТНЕР-ФИНАНС» в пользу Иванова Р.В. денежных сумм. Также представлено в оригинале два ордера за одним № 71-19 от 30.09.2019г., в которых Иванов Р.В. получил от Общества по 250 000руб., данные ордера соответствуют по форме КО-2, согласно Правил ведения кассовой книги, выданы в одном экземпляре, сумма указано прописью ее получателем, имеются все подписи ответственных лиц. При этом, данные ордера являются разными документами, поскольку в них отличен способ написания даты получения денежных средств, в первом – 30.09.2019г., месяц указан в цифрах «09», во втором – месяц указано прописью </w:t>
      </w:r>
      <w:proofErr w:type="gramStart"/>
      <w:r w:rsidRPr="00086EB6">
        <w:rPr>
          <w:rFonts w:ascii="Times New Roman" w:eastAsia="Times New Roman" w:hAnsi="Times New Roman" w:cs="Times New Roman"/>
          <w:color w:val="000000"/>
          <w:sz w:val="27"/>
          <w:szCs w:val="27"/>
          <w:lang w:eastAsia="ru-RU"/>
        </w:rPr>
        <w:t>« сентября</w:t>
      </w:r>
      <w:proofErr w:type="gramEnd"/>
      <w:r w:rsidRPr="00086EB6">
        <w:rPr>
          <w:rFonts w:ascii="Times New Roman" w:eastAsia="Times New Roman" w:hAnsi="Times New Roman" w:cs="Times New Roman"/>
          <w:color w:val="000000"/>
          <w:sz w:val="27"/>
          <w:szCs w:val="27"/>
          <w:lang w:eastAsia="ru-RU"/>
        </w:rPr>
        <w:t>».</w:t>
      </w:r>
    </w:p>
    <w:p w14:paraId="668503A2"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В судебном заседании представитель истца о подложности данных документов не заявляла, ходатайств о назначении судебных экспертиз заявлять не намерена.</w:t>
      </w:r>
    </w:p>
    <w:p w14:paraId="17E95969"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lastRenderedPageBreak/>
        <w:t>В нарушение ст. 56 ГПК РФ стороной истца не представлено относимых и допустимых доказательств неполучения Ивановым Р.В. 30.09.2019г. денежных средств по второму ордеру на сумму 250 000руб.</w:t>
      </w:r>
    </w:p>
    <w:p w14:paraId="6E17D8C6"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Таким образом, суд признает, что ответчиком было всего уплачено по основному долгу и процентам – 4 926 862руб.</w:t>
      </w:r>
    </w:p>
    <w:p w14:paraId="23E416A6"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Доводы стороны истца по первоначальному иску о том, что договор № 57/1 от 08.09.2017г. был новацией долга по договору займа № 9 от 21.10.2016г. в судебном заседании не нашло своего подтверждения.</w:t>
      </w:r>
    </w:p>
    <w:p w14:paraId="00459562"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Согласно доп. соглашения № 1 к договору займа № 9 от 21.10.2016г., стороны пришли к взаимному соглашению о расторжении данного договора займа по причине заключения договора займа № 57/1 от 08.09.2017г., зафиксировано, что стороны взаимных финансовых и иных претензий друг другу по договору займа № 9 от 21.10.2016г. не имеют. Кроме того, договор займа № 57/1 от 08.09.2017г. также не имеет ссылку на новацию долга по иному обязательству.</w:t>
      </w:r>
    </w:p>
    <w:p w14:paraId="08807120"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С учетом изложенного, суд признает, что у истца возникла переплата на сумму 201 862</w:t>
      </w:r>
      <w:proofErr w:type="gramStart"/>
      <w:r w:rsidRPr="00086EB6">
        <w:rPr>
          <w:rFonts w:ascii="Times New Roman" w:eastAsia="Times New Roman" w:hAnsi="Times New Roman" w:cs="Times New Roman"/>
          <w:color w:val="000000"/>
          <w:sz w:val="27"/>
          <w:szCs w:val="27"/>
          <w:lang w:eastAsia="ru-RU"/>
        </w:rPr>
        <w:t>руб.(</w:t>
      </w:r>
      <w:proofErr w:type="gramEnd"/>
      <w:r w:rsidRPr="00086EB6">
        <w:rPr>
          <w:rFonts w:ascii="Times New Roman" w:eastAsia="Times New Roman" w:hAnsi="Times New Roman" w:cs="Times New Roman"/>
          <w:color w:val="000000"/>
          <w:sz w:val="27"/>
          <w:szCs w:val="27"/>
          <w:lang w:eastAsia="ru-RU"/>
        </w:rPr>
        <w:t>4 926 862руб.-(3500000+1 225000=4 725 000)_.</w:t>
      </w:r>
    </w:p>
    <w:p w14:paraId="428085A9"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Согласно п. 1 ст. 330 ГК РФ 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w:t>
      </w:r>
    </w:p>
    <w:p w14:paraId="57946C9D"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В соответствии с п. 1 ст. 333 ГК РФ если подлежащая уплате неустойка явно несоразмерна последствиям нарушения обязательства, суд вправе уменьшить неустойку.</w:t>
      </w:r>
    </w:p>
    <w:p w14:paraId="7417B7D8"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Таким образом, гражданское законодательство предусматривает неустойку в качестве способа обеспечения исполнения обязательств и меры имущественной ответственности за их неисполнение или ненадлежащее исполнение, а право снижения неустойки предоставлено суду в целях устранения явной ее несоразмерности последствиям нарушения обязательств.</w:t>
      </w:r>
    </w:p>
    <w:p w14:paraId="4CF4E07D"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Признание несоразмерности неустойки последствиям нарушения обязательства является правом суда, принимающего решение.</w:t>
      </w:r>
    </w:p>
    <w:p w14:paraId="69550189"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 xml:space="preserve">Согласно правовой позиции Конституционного Суда РФ, выраженной в п. 2 Определения от 21 декабря 2000 года N 263-О, положения п. 1 ст. 333 ГК РФ содержат обязанность суда установить баланс между применяемой к нарушителю мерой ответственности и оценкой действительного, а не возможного размера ущерба. 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w:t>
      </w:r>
      <w:r w:rsidRPr="00086EB6">
        <w:rPr>
          <w:rFonts w:ascii="Times New Roman" w:eastAsia="Times New Roman" w:hAnsi="Times New Roman" w:cs="Times New Roman"/>
          <w:color w:val="000000"/>
          <w:sz w:val="27"/>
          <w:szCs w:val="27"/>
          <w:lang w:eastAsia="ru-RU"/>
        </w:rPr>
        <w:lastRenderedPageBreak/>
        <w:t>направлены против злоупотребления правом свободного определения размера неустойки, то есть, по существу, - на реализацию требования ч. 1 ст. 17 Конституции РФ, согласно которой осуществление прав и свобод человека и гражданина не должно нарушать права и свободы других лиц.</w:t>
      </w:r>
    </w:p>
    <w:p w14:paraId="7D28D4B6"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Пунктом 6 ст. 395 ГК РФ предусмотрено, что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п. 1 настоящей статьи, т.е. до ключевой ставкой Банка России, действовавшей в соответствующие периоды.</w:t>
      </w:r>
    </w:p>
    <w:p w14:paraId="22753232"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Исходя из указанных положений закона, учитывая обстоятельства дела (размер займа, характер и длительность допущенных нарушений, размер долга и процентов за пользование займом), суд полагает, что предусмотренный дополнительным соглашением № 2 от 01.03.2019г. размер неустойки является чрезмерно завышенным по сравнению с последствиями нарушения обязательства, в связи с чем, суд полагает, что имеются основания для снижения размера неустойки, с учетом ключевой ставки Банка России, действовавшей в соответствующие периоды образования неустойки.</w:t>
      </w:r>
    </w:p>
    <w:p w14:paraId="0513672F"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Таким образом, суд определяет размер неустойки, подлежащий взысканию в сумме 502 000руб., с учетом переплаты в сумме 201 862руб., окончательно определяет ко взысканию в сумме 300 000руб.</w:t>
      </w:r>
    </w:p>
    <w:p w14:paraId="546A2055"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Солидарная обязанность ответчиков предусмотрена заключенным с ними договорами и подлежит исполнению в соответствии со ст. 322, 323 ГКРФ.</w:t>
      </w:r>
    </w:p>
    <w:p w14:paraId="066747CE"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В части доводов встречного иска суд установил следующее.</w:t>
      </w:r>
    </w:p>
    <w:p w14:paraId="433A6508"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Согласно ч. 1 ст. 226 НК РФ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иностранных организаций в Российской Федерации, от которых или в результате отношений с которыми налогоплательщик получил доходы, указанные в пункте 2 настоящей статьи, обязаны исчислить, удержать у налогоплательщика и уплатить сумму налога, исчисленную в соответствии со статьей 225 настоящего Кодекса с учетом особенностей, предусмотренных настоящей статьей. Налог с доходов адвокатов исчисляется, удерживается и уплачивается коллегиями адвокатов, адвокатскими бюро и юридическими консультациями.</w:t>
      </w:r>
    </w:p>
    <w:p w14:paraId="3242AA6A"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Таким образом, налог в размере, установленном ч. 1 ст. 224 НК РФ, подлежит уплате налогоплательщиками в порядке и сроки, указанные в указанном Налоговом Кодексе РФ в пользу бюджета субъекта РФ.</w:t>
      </w:r>
    </w:p>
    <w:p w14:paraId="42907B6D"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 xml:space="preserve">Таким образом, Иванов Р.В. по обязательствам ООО «ПАРТНЕР-ФИНАНС», не исполненных к моменту рассмотрения настоящего спора, не </w:t>
      </w:r>
      <w:r w:rsidRPr="00086EB6">
        <w:rPr>
          <w:rFonts w:ascii="Times New Roman" w:eastAsia="Times New Roman" w:hAnsi="Times New Roman" w:cs="Times New Roman"/>
          <w:color w:val="000000"/>
          <w:sz w:val="27"/>
          <w:szCs w:val="27"/>
          <w:lang w:eastAsia="ru-RU"/>
        </w:rPr>
        <w:lastRenderedPageBreak/>
        <w:t>является налогоплательщиком, не обязан к уплате налогов и сборов в их пользу, в связи с чем, суд признает, что встречные исковые требования не основаны на законе, подлежат удовлетворению.</w:t>
      </w:r>
    </w:p>
    <w:p w14:paraId="3BDBD30C"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С солидарных ответчиков в пользу истца подлежит взысканию государственная пошлина пропорционально удовлетворённых требований.</w:t>
      </w:r>
    </w:p>
    <w:p w14:paraId="7B3C5403"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На основании изложенного, руководствуясь ст.ст.194-198, 199 ГПК РФ, суд</w:t>
      </w:r>
    </w:p>
    <w:p w14:paraId="5470036E" w14:textId="77777777" w:rsidR="00086EB6" w:rsidRPr="00086EB6" w:rsidRDefault="00086EB6" w:rsidP="00086EB6">
      <w:pPr>
        <w:shd w:val="clear" w:color="auto" w:fill="FFFFFF"/>
        <w:spacing w:before="100" w:beforeAutospacing="1" w:after="100" w:afterAutospacing="1" w:line="240" w:lineRule="auto"/>
        <w:ind w:firstLine="720"/>
        <w:jc w:val="center"/>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р е ш и л:</w:t>
      </w:r>
    </w:p>
    <w:p w14:paraId="6840750A"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Исковые требования Иванова Р.В. удовлетворить частично.</w:t>
      </w:r>
    </w:p>
    <w:p w14:paraId="0BD6F7EC"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Взыскать в солидарном порядке с ООО «ПАРТНЕР-ФИНАНС», ООО «ЭКСПЕРТ-ФИНАНС» в пользу Иванова Романа Вадимовича неустойку по договору займа № 57/1 от 08.09.2017г. – 300 000руб., расходы по уплате государственной пошлины – 6200руб.</w:t>
      </w:r>
    </w:p>
    <w:p w14:paraId="50F1D2CE"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В удовлетворении остальной части исковых требований отказать.</w:t>
      </w:r>
    </w:p>
    <w:p w14:paraId="6830F9E8"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Встречные исковые требования ООО «ПАРТНЕР-ФИНАНС» - оставить без удовлетворения.</w:t>
      </w:r>
    </w:p>
    <w:p w14:paraId="39F027A7"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Решение может быть обжаловано в апелляционном порядке в Ярославский областной суд с подачей жалобы в Дзержинский районный суд г. Ярославля в течение месяца со дня принятия решения судом в окончательной форме.</w:t>
      </w:r>
    </w:p>
    <w:p w14:paraId="4D2DFA7F" w14:textId="77777777" w:rsidR="00086EB6" w:rsidRPr="00086EB6" w:rsidRDefault="00086EB6" w:rsidP="00086EB6">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7"/>
          <w:szCs w:val="27"/>
          <w:lang w:eastAsia="ru-RU"/>
        </w:rPr>
      </w:pPr>
      <w:r w:rsidRPr="00086EB6">
        <w:rPr>
          <w:rFonts w:ascii="Times New Roman" w:eastAsia="Times New Roman" w:hAnsi="Times New Roman" w:cs="Times New Roman"/>
          <w:color w:val="000000"/>
          <w:sz w:val="27"/>
          <w:szCs w:val="27"/>
          <w:lang w:eastAsia="ru-RU"/>
        </w:rPr>
        <w:t>Судья Ю.А. Шумилова</w:t>
      </w:r>
    </w:p>
    <w:p w14:paraId="75EE6A4A" w14:textId="77777777" w:rsidR="00800314" w:rsidRDefault="00800314"/>
    <w:sectPr w:rsidR="008003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B6"/>
    <w:rsid w:val="00086EB6"/>
    <w:rsid w:val="008003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1E277"/>
  <w15:chartTrackingRefBased/>
  <w15:docId w15:val="{680F22D0-C21D-4798-B026-F3459843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77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2264</Words>
  <Characters>12906</Characters>
  <Application>Microsoft Office Word</Application>
  <DocSecurity>0</DocSecurity>
  <Lines>107</Lines>
  <Paragraphs>30</Paragraphs>
  <ScaleCrop>false</ScaleCrop>
  <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2021-10-12T10:48:00Z</dcterms:created>
  <dcterms:modified xsi:type="dcterms:W3CDTF">2021-10-12T10:51:00Z</dcterms:modified>
</cp:coreProperties>
</file>